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E4" w:rsidRPr="00FA26E4" w:rsidRDefault="00FA26E4" w:rsidP="00FA2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6E4">
        <w:rPr>
          <w:rFonts w:ascii="Times New Roman" w:hAnsi="Times New Roman" w:cs="Times New Roman"/>
          <w:b/>
          <w:sz w:val="32"/>
          <w:szCs w:val="32"/>
        </w:rPr>
        <w:t xml:space="preserve">СТРАТЕГИЯ ПРОТИВОДЕЙСТВИЯ ЭКСТРЕМИЗМУ </w:t>
      </w:r>
    </w:p>
    <w:p w:rsidR="00FA26E4" w:rsidRPr="00FA26E4" w:rsidRDefault="00FA26E4" w:rsidP="00FA2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6E4">
        <w:rPr>
          <w:rFonts w:ascii="Times New Roman" w:hAnsi="Times New Roman" w:cs="Times New Roman"/>
          <w:b/>
          <w:sz w:val="32"/>
          <w:szCs w:val="32"/>
        </w:rPr>
        <w:t xml:space="preserve">в РОССИЙСКОЙ ФЕДЕРАЦИИ </w:t>
      </w:r>
      <w:r>
        <w:rPr>
          <w:rFonts w:ascii="Times New Roman" w:hAnsi="Times New Roman" w:cs="Times New Roman"/>
          <w:b/>
          <w:sz w:val="32"/>
          <w:szCs w:val="32"/>
        </w:rPr>
        <w:t>до</w:t>
      </w:r>
      <w:r w:rsidRPr="00FA26E4">
        <w:rPr>
          <w:rFonts w:ascii="Times New Roman" w:hAnsi="Times New Roman" w:cs="Times New Roman"/>
          <w:b/>
          <w:sz w:val="32"/>
          <w:szCs w:val="32"/>
        </w:rPr>
        <w:t xml:space="preserve"> 2025 </w:t>
      </w:r>
      <w:r>
        <w:rPr>
          <w:rFonts w:ascii="Times New Roman" w:hAnsi="Times New Roman" w:cs="Times New Roman"/>
          <w:b/>
          <w:sz w:val="32"/>
          <w:szCs w:val="32"/>
        </w:rPr>
        <w:t xml:space="preserve">года </w:t>
      </w:r>
    </w:p>
    <w:p w:rsidR="00FA26E4" w:rsidRPr="00FA26E4" w:rsidRDefault="00FA26E4" w:rsidP="00FA26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proofErr w:type="gramStart"/>
      <w:r w:rsidRPr="00FA26E4">
        <w:rPr>
          <w:rFonts w:ascii="Times New Roman" w:hAnsi="Times New Roman" w:cs="Times New Roman"/>
          <w:sz w:val="26"/>
          <w:szCs w:val="26"/>
          <w:lang w:val="en-US"/>
        </w:rPr>
        <w:t>утверждена</w:t>
      </w:r>
      <w:proofErr w:type="spellEnd"/>
      <w:proofErr w:type="gramEnd"/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Президентом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 РФ 28.11.2014 г., Пр-2753)</w:t>
      </w:r>
    </w:p>
    <w:p w:rsidR="00FA26E4" w:rsidRDefault="00FA26E4" w:rsidP="00FA2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A26E4" w:rsidRPr="00FA26E4" w:rsidRDefault="00FA26E4" w:rsidP="00FA26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b/>
          <w:sz w:val="26"/>
          <w:szCs w:val="26"/>
          <w:lang w:val="en-US"/>
        </w:rPr>
        <w:t>I. ОБЩИЕ ПОЛОЖЕНИЯ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1. 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2. 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4. В настоящей Стратегии используются следующие основные понятия: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д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) "радикализм" - глубокая приверженность идеологии экстремизма, способствующая 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lastRenderedPageBreak/>
        <w:t>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</w:p>
    <w:p w:rsidR="00FA26E4" w:rsidRDefault="00FA26E4" w:rsidP="00FA26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A26E4" w:rsidRDefault="00FA26E4" w:rsidP="00FA26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6E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A26E4">
        <w:rPr>
          <w:rFonts w:ascii="Times New Roman" w:hAnsi="Times New Roman" w:cs="Times New Roman"/>
          <w:b/>
          <w:sz w:val="26"/>
          <w:szCs w:val="26"/>
        </w:rPr>
        <w:t xml:space="preserve">. ОСНОВНЫЕ ИСТОЧНИКИ УГРОЗ ЭКСТРЕМИЗМА </w:t>
      </w:r>
    </w:p>
    <w:p w:rsidR="00FA26E4" w:rsidRPr="00FA26E4" w:rsidRDefault="00FA26E4" w:rsidP="00FA26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6E4">
        <w:rPr>
          <w:rFonts w:ascii="Times New Roman" w:hAnsi="Times New Roman" w:cs="Times New Roman"/>
          <w:b/>
          <w:sz w:val="26"/>
          <w:szCs w:val="26"/>
        </w:rPr>
        <w:t>В СОВРЕМЕННОЙ РОССИИ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6E4">
        <w:rPr>
          <w:rFonts w:ascii="Times New Roman" w:hAnsi="Times New Roman" w:cs="Times New Roman"/>
          <w:sz w:val="26"/>
          <w:szCs w:val="26"/>
        </w:rPr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7. За последние годы увеличилось число внешних и внутренних экстремистских угроз. </w:t>
      </w:r>
      <w:proofErr w:type="gram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</w:t>
      </w:r>
      <w:proofErr w:type="gramEnd"/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  <w:proofErr w:type="gramEnd"/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8. Экстремизм вышел за пределы отдельных государств и представляет глобальную угрозу безопасности всего мирового сообщества. </w:t>
      </w:r>
      <w:proofErr w:type="gram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  <w:proofErr w:type="gramEnd"/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11. 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</w:t>
      </w:r>
      <w:proofErr w:type="gramStart"/>
      <w:r w:rsidRPr="00FA26E4">
        <w:rPr>
          <w:rFonts w:ascii="Times New Roman" w:hAnsi="Times New Roman" w:cs="Times New Roman"/>
          <w:sz w:val="26"/>
          <w:szCs w:val="26"/>
          <w:lang w:val="en-US"/>
        </w:rPr>
        <w:t>Угроза терроризма будет сохраняться до тех пор, пока существуют источники и каналы распространения этой идеологии.</w:t>
      </w:r>
      <w:proofErr w:type="gramEnd"/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lastRenderedPageBreak/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</w:t>
      </w:r>
      <w:proofErr w:type="gram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Идеологами радикальных течений ислама в России являются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</w:t>
      </w:r>
      <w:proofErr w:type="gramEnd"/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  <w:proofErr w:type="gramEnd"/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20. 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этноконфессиональный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 баланс населения.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21.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23. Прямые или косвенные последствия экстремизма затрагивают все основные сферы общественной жизни политическую, экономическую и социальную. </w:t>
      </w:r>
      <w:proofErr w:type="gramStart"/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Это выдвигает новые требования к организации деятельности по противодействию экстремизму на всех уровнях, а также по </w:t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минимизации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его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последствий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26E4" w:rsidRPr="00FA26E4" w:rsidRDefault="00FA26E4" w:rsidP="00FA26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6E4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FA26E4">
        <w:rPr>
          <w:rFonts w:ascii="Times New Roman" w:hAnsi="Times New Roman" w:cs="Times New Roman"/>
          <w:b/>
          <w:sz w:val="26"/>
          <w:szCs w:val="26"/>
        </w:rPr>
        <w:t>. ЦЕЛЬ, ЗАДАЧИ И ОСНОВНЫЕ НАПРАВЛЕНИЯ ГОСУДАРСТВЕННОЙ ПОЛИТИКИ В СФЕРЕ ПРОТИВОДЕЙСТВИЯ ЭКСТРЕМИЗМУ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6E4">
        <w:rPr>
          <w:rFonts w:ascii="Times New Roman" w:hAnsi="Times New Roman" w:cs="Times New Roman"/>
          <w:sz w:val="26"/>
          <w:szCs w:val="26"/>
        </w:rPr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</w:rPr>
        <w:t xml:space="preserve">26. </w:t>
      </w:r>
      <w:proofErr w:type="gramStart"/>
      <w:r w:rsidRPr="00FA26E4">
        <w:rPr>
          <w:rFonts w:ascii="Times New Roman" w:hAnsi="Times New Roman" w:cs="Times New Roman"/>
          <w:sz w:val="26"/>
          <w:szCs w:val="26"/>
        </w:rPr>
        <w:t>Основными задачами государственной политики в сфере противодействия экстремизму являются:</w:t>
      </w:r>
      <w:r w:rsidRPr="00FA26E4">
        <w:rPr>
          <w:rFonts w:ascii="Times New Roman" w:hAnsi="Times New Roman" w:cs="Times New Roman"/>
          <w:sz w:val="26"/>
          <w:szCs w:val="26"/>
        </w:rPr>
        <w:br/>
        <w:t>а) создание единой государственной системы мониторинга в сфере противодействия экстремизму;</w:t>
      </w:r>
      <w:r w:rsidRPr="00FA26E4">
        <w:rPr>
          <w:rFonts w:ascii="Times New Roman" w:hAnsi="Times New Roman" w:cs="Times New Roman"/>
          <w:sz w:val="26"/>
          <w:szCs w:val="26"/>
        </w:rPr>
        <w:br/>
        <w:t>б) совершенствование законодательства Российской Федерации и правоприменительной практики в сфере противодействия экстремизму;</w:t>
      </w:r>
      <w:r w:rsidRPr="00FA26E4">
        <w:rPr>
          <w:rFonts w:ascii="Times New Roman" w:hAnsi="Times New Roman" w:cs="Times New Roman"/>
          <w:sz w:val="26"/>
          <w:szCs w:val="26"/>
        </w:rPr>
        <w:br/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  <w:proofErr w:type="gramEnd"/>
      <w:r w:rsidRPr="00FA26E4">
        <w:rPr>
          <w:rFonts w:ascii="Times New Roman" w:hAnsi="Times New Roman" w:cs="Times New Roman"/>
          <w:sz w:val="26"/>
          <w:szCs w:val="26"/>
        </w:rPr>
        <w:br/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  <w:r w:rsidRPr="00FA26E4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FA26E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A26E4">
        <w:rPr>
          <w:rFonts w:ascii="Times New Roman" w:hAnsi="Times New Roman" w:cs="Times New Roman"/>
          <w:sz w:val="26"/>
          <w:szCs w:val="26"/>
        </w:rPr>
        <w:t>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27. Основные направления государственной политики по противодействию экстремизму: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а) в сфере законодательной деятельности: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обеспечение эффективного применения норм законодательства Российской Федерации в сфере противодействия экстремизму;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проведение систематического мониторинга правоприменительной практики в сфере противодействия экстремизму;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б) в сфере правоохранительной деятельности: координация действий правоохранительных органов, органов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lastRenderedPageBreak/>
        <w:t>проведение профилактической работы с лицами, подверженными влиянию идеологии экстремизма;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реализация принципа неотвратимости наказания за осуществление экстремистской деятельности;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выявление и устранение источников и каналов финансирования экстремистской деятельности;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 xml:space="preserve">своевременное реагирование органов государственной власти, органов местного самоуправления и институтов гражданского общества </w:t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наf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 возникновение конфликтных и </w:t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предконфликтных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 ситуаций;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г) в сфере государственной миграционной политики: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 xml:space="preserve">развитие двустороннего взаимодействия с иностранными государствами, в том числе по 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lastRenderedPageBreak/>
        <w:t>вопросам подготовки иностранных граждан к временному проживанию в Российской Федерации;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 xml:space="preserve">совершенствование механизмов депортации, выдворения и </w:t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реадмиссии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д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>) в сфере государственной информационной политики: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 xml:space="preserve">проведение тематических встреч с представителями средств массовой информации и </w:t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интернет-сообщества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 в целях противодействия распространению идеологии экстремизма;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 xml:space="preserve"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</w:t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конфессиями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>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lastRenderedPageBreak/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е) в сфере образования и государственной молодежной политики: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осуществление мер государственной поддержки системы воспитания молодежи на основе традиционных для российской культуры духовных, нравственных и патриотических ценностей;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 xml:space="preserve">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девиантного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ж) в сфере государственной культурной политики: формирование в Российской Федерации межконфессионального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 xml:space="preserve">и </w:t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внутриконфессионального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 xml:space="preserve"> взаимодействия в целях обеспечения гражданского мира и 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lastRenderedPageBreak/>
        <w:t>согласия;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включение в программы подготовки работников культуры изучения основ духовно-нравственной культуры народов Российской Федерации;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содействие активному распространению идеи исторического единства народов Российской Федерации;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з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>) в сфере международного сотрудничества: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совершенствование взаимодействия с правоохранительными органами и спецслужбами иностранных государств в сфере противодействия экстремизму;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продвижение в двусторонних и многосторонних форматах российских инициатив по вопросам противодействия экстремистской деятельности/ в том числе осуществляемой с использованием информационно-телекоммуникационной сети "Интернет";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FA26E4" w:rsidRDefault="00FA26E4" w:rsidP="00FA26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6E4" w:rsidRPr="00FA26E4" w:rsidRDefault="00FA26E4" w:rsidP="00FA26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6E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A26E4">
        <w:rPr>
          <w:rFonts w:ascii="Times New Roman" w:hAnsi="Times New Roman" w:cs="Times New Roman"/>
          <w:b/>
          <w:sz w:val="26"/>
          <w:szCs w:val="26"/>
        </w:rPr>
        <w:t>. МЕХАНИЗМ РЕАЛИЗАЦИИ НАСТОЯЩЕЙ СТРАТЕГИИ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26E4">
        <w:rPr>
          <w:rFonts w:ascii="Times New Roman" w:hAnsi="Times New Roman" w:cs="Times New Roman"/>
          <w:sz w:val="26"/>
          <w:szCs w:val="26"/>
        </w:rPr>
        <w:t>28. План мероприятий по реализации настоящей Стратегии разрабатывает и утверждает Правительство Российской Федерации.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29. Настоящая Стратегия реализуется субъектами противодействия экстремизму: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а) при формировании и исполнении бюджетов всех уровней;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б) путем решения кадровых вопросов;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д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>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lastRenderedPageBreak/>
        <w:t>30.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31. Настоящую Стратегию предусматривается реализовать в три этапа.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32. На первом этапе (2015 год) предполагается осуществить следующие мероприятия</w:t>
      </w:r>
      <w:proofErr w:type="gramStart"/>
      <w:r w:rsidRPr="00FA26E4">
        <w:rPr>
          <w:rFonts w:ascii="Times New Roman" w:hAnsi="Times New Roman" w:cs="Times New Roman"/>
          <w:sz w:val="26"/>
          <w:szCs w:val="26"/>
          <w:lang w:val="en-US"/>
        </w:rPr>
        <w:t>:</w:t>
      </w:r>
      <w:proofErr w:type="gramEnd"/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а) разработка плана реализации настоящей Стратегии;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б) определение направлений дальнейшего развития законодательства Российской Федерации в сфере противодействия экстремизму;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33. На втором этапе (2016 - 2024 годы) планируется осуществить следующие мероприятия: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б) выполнение мероприятий в соответствии с планом реализации настоящей Стратегии;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в) мониторинг результатов, достигнутых при реализации настоящей Стратегии;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</w:r>
      <w:proofErr w:type="spellStart"/>
      <w:r w:rsidRPr="00FA26E4">
        <w:rPr>
          <w:rFonts w:ascii="Times New Roman" w:hAnsi="Times New Roman" w:cs="Times New Roman"/>
          <w:sz w:val="26"/>
          <w:szCs w:val="26"/>
          <w:lang w:val="en-US"/>
        </w:rPr>
        <w:t>д</w:t>
      </w:r>
      <w:proofErr w:type="spellEnd"/>
      <w:r w:rsidRPr="00FA26E4">
        <w:rPr>
          <w:rFonts w:ascii="Times New Roman" w:hAnsi="Times New Roman" w:cs="Times New Roman"/>
          <w:sz w:val="26"/>
          <w:szCs w:val="26"/>
          <w:lang w:val="en-US"/>
        </w:rPr>
        <w:t>) обеспечение вовлечения институтов гражданского общества в деятельность, направленную на противодействие экстремизму;</w:t>
      </w:r>
      <w:r w:rsidRPr="00FA26E4">
        <w:rPr>
          <w:rFonts w:ascii="Times New Roman" w:hAnsi="Times New Roman" w:cs="Times New Roman"/>
          <w:sz w:val="26"/>
          <w:szCs w:val="26"/>
          <w:lang w:val="en-US"/>
        </w:rPr>
        <w:br/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FA26E4" w:rsidRPr="00FA26E4" w:rsidRDefault="00FA26E4" w:rsidP="00FA2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:rsidR="00FA26E4" w:rsidRPr="00FA26E4" w:rsidRDefault="00FA26E4" w:rsidP="00FA2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26E4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sectPr w:rsidR="00FA26E4" w:rsidRPr="00FA26E4" w:rsidSect="007349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349C8"/>
    <w:rsid w:val="004D39C1"/>
    <w:rsid w:val="007349C8"/>
    <w:rsid w:val="00E63302"/>
    <w:rsid w:val="00FA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02"/>
  </w:style>
  <w:style w:type="paragraph" w:styleId="2">
    <w:name w:val="heading 2"/>
    <w:basedOn w:val="a"/>
    <w:link w:val="20"/>
    <w:uiPriority w:val="9"/>
    <w:qFormat/>
    <w:rsid w:val="00FA2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6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318">
          <w:marLeft w:val="5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9" w:color="BDB37A"/>
            <w:right w:val="none" w:sz="0" w:space="0" w:color="auto"/>
          </w:divBdr>
        </w:div>
      </w:divsChild>
    </w:div>
    <w:div w:id="1849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058">
          <w:marLeft w:val="5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9" w:color="BDB37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4222</Words>
  <Characters>24066</Characters>
  <Application>Microsoft Office Word</Application>
  <DocSecurity>0</DocSecurity>
  <Lines>200</Lines>
  <Paragraphs>56</Paragraphs>
  <ScaleCrop>false</ScaleCrop>
  <Company/>
  <LinksUpToDate>false</LinksUpToDate>
  <CharactersWithSpaces>28232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2014-12-17T13:28:00Z</dcterms:created>
  <dcterms:modified xsi:type="dcterms:W3CDTF">2016-12-06T16:24:00Z</dcterms:modified>
</cp:coreProperties>
</file>